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50586">
      <w:pPr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32"/>
        </w:rPr>
        <w:t>Compli-Serve Desktop Compliance Review Service</w:t>
      </w:r>
    </w:p>
    <w:p w14:paraId="44B20BD2">
      <w:pPr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Independent AML / FICA RMCP &amp; BRA Review Offering</w:t>
      </w:r>
    </w:p>
    <w:p w14:paraId="40997853">
      <w:pPr>
        <w:rPr>
          <w:rFonts w:hint="default" w:ascii="Calibri" w:hAnsi="Calibri" w:cs="Calibri"/>
        </w:rPr>
      </w:pPr>
    </w:p>
    <w:p w14:paraId="61454F9A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Overview</w:t>
      </w:r>
    </w:p>
    <w:p w14:paraId="288A7338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Following the successful delivery of independent desktop review projects for leading financial institutions, Compli-Serve has formalised a specialised service offering focused on the independent assessment of AML / FICA frameworks, specifically Risk Management and Compliance Programmes (RMCPs) and Business Risk Assessments (BRAs).</w:t>
      </w:r>
    </w:p>
    <w:p w14:paraId="290F53EE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What This Service Is</w:t>
      </w:r>
    </w:p>
    <w:p w14:paraId="1A7B1A0A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This is an independent, desk-based compliance review designed to assess whether your AML framework is adequately structured, aligned to legislation, and defensible in the event of regulatory scrutiny.</w:t>
      </w:r>
    </w:p>
    <w:p w14:paraId="2E3533B6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Scope of Services</w:t>
      </w:r>
    </w:p>
    <w:p w14:paraId="56A49F0C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• Independent review of RMCPs in terms of Section 42 of the FIC Act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Review of Business Risk Assessments and alignment to RMCP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Identification of gaps, inconsistencies and areas of weakness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Benchmarking against FIC Guidance Note 7A and industry best practice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Cross-entity consistency reviews (for group structures)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Structured reporting with practical remediation guidance</w:t>
      </w:r>
    </w:p>
    <w:p w14:paraId="615FBB24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What This Service Is Not</w:t>
      </w:r>
    </w:p>
    <w:p w14:paraId="400607F5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• No onsite visits or operational walkthroughs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No file sampling or testing of implementation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No system or technology assessments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No assurance or audit opinion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No implementation or remediation work (unless separately scoped)</w:t>
      </w:r>
    </w:p>
    <w:p w14:paraId="617F2F3B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Deliverables</w:t>
      </w:r>
    </w:p>
    <w:p w14:paraId="39BCD2EC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• Per-entity RMCP Adequacy Reports (2–3 pages)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BRA alignment commentary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Consolidated group summary (where applicable)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Clear, practical remediation roadmap</w:t>
      </w:r>
    </w:p>
    <w:p w14:paraId="72F2AE8A">
      <w:pPr>
        <w:rPr>
          <w:rFonts w:hint="default" w:ascii="Calibri" w:hAnsi="Calibri" w:cs="Calibri"/>
          <w:b/>
          <w:sz w:val="24"/>
        </w:rPr>
      </w:pPr>
    </w:p>
    <w:p w14:paraId="2C5BAFE9">
      <w:pPr>
        <w:rPr>
          <w:rFonts w:hint="default" w:ascii="Calibri" w:hAnsi="Calibri" w:cs="Calibri"/>
          <w:b/>
          <w:sz w:val="24"/>
        </w:rPr>
      </w:pPr>
    </w:p>
    <w:p w14:paraId="704EBCE6">
      <w:pPr>
        <w:rPr>
          <w:rFonts w:hint="default" w:ascii="Calibri" w:hAnsi="Calibri" w:cs="Calibri"/>
          <w:b/>
          <w:sz w:val="24"/>
        </w:rPr>
      </w:pPr>
    </w:p>
    <w:p w14:paraId="14306606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Methodology</w:t>
      </w:r>
    </w:p>
    <w:p w14:paraId="2168AA98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1. Document Evaluation – Review against legislation and guidance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2. Comparative Analysis – Benchmarking and consistency checks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3. Reporting – Clear, concise and inspection-ready output</w:t>
      </w:r>
    </w:p>
    <w:p w14:paraId="1B1A7342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Why This Matters</w:t>
      </w:r>
    </w:p>
    <w:p w14:paraId="4CAC3E42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Regulators are increasingly focused on the adequacy and defensibility of AML frameworks. This service ensures that your documentation is not only compliant on paper, but structured in a way that can withstand FSCA and FIC scrutiny.</w:t>
      </w:r>
    </w:p>
    <w:p w14:paraId="56ABA182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Ideal For</w:t>
      </w:r>
    </w:p>
    <w:p w14:paraId="085E93AA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• Category I and II FSPs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Asset managers and fund administrators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Groups requiring consistency across multiple entities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Firms preparing for FSCA or FIC inspections</w:t>
      </w:r>
    </w:p>
    <w:p w14:paraId="1ABD8938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Visual Service Flow</w:t>
      </w:r>
    </w:p>
    <w:p w14:paraId="24E5C924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Client Submits RMCP &amp; BRA → Compli-Serve Desktop Review → Gap Analysis &amp; Benchmarking → Reporting &amp; Recommendations → Client Remediation (if required)</w:t>
      </w:r>
    </w:p>
    <w:p w14:paraId="32C12651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Commercial Model</w:t>
      </w:r>
      <w:bookmarkStart w:id="0" w:name="_GoBack"/>
      <w:bookmarkEnd w:id="0"/>
    </w:p>
    <w:p w14:paraId="3186A418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• Fixed-fee engagements based on scope and number of entities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Typical engagements range from R</w:t>
      </w:r>
      <w:r>
        <w:rPr>
          <w:rFonts w:hint="default" w:ascii="Calibri" w:hAnsi="Calibri" w:cs="Calibri"/>
          <w:lang w:val="en-US"/>
        </w:rPr>
        <w:t>2</w:t>
      </w:r>
      <w:r>
        <w:rPr>
          <w:rFonts w:hint="default" w:ascii="Calibri" w:hAnsi="Calibri" w:cs="Calibri"/>
        </w:rPr>
        <w:t>0,000 to R90,000+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• Additional services scoped separately</w:t>
      </w:r>
    </w:p>
    <w:p w14:paraId="5020177B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Positioning</w:t>
      </w:r>
    </w:p>
    <w:p w14:paraId="24F2A9FB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This is not an audit. It is a practical, independent compliance review designed to identify weaknesses early and provide a clear path to compliance readiness.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AC4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JamesGeorge</cp:lastModifiedBy>
  <dcterms:modified xsi:type="dcterms:W3CDTF">2026-04-10T14:18:01Z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B72E32EAD9144ACABD9A181B16ACBB06_13</vt:lpwstr>
  </property>
</Properties>
</file>